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301411</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Receive timing difference between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9.8.3.6</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scope, scenarios and capabilities of simultaneous multi-panel/multi-beam reception while regarding to the issue of receiving time difference between different directions, still not any progress. So in this document, we provide some further discussion around this issue.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After the discussion in last meeting, the following options were summarized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1a (Apple</w:t>
            </w:r>
            <w:r>
              <w:rPr>
                <w:rFonts w:hint="eastAsia" w:eastAsia="宋体"/>
                <w:color w:val="auto"/>
                <w:szCs w:val="24"/>
                <w:lang w:eastAsia="zh-CN"/>
              </w:rPr>
              <w:t>)</w:t>
            </w:r>
            <w:r>
              <w:rPr>
                <w:rFonts w:eastAsia="宋体"/>
                <w:color w:val="auto"/>
                <w:szCs w:val="24"/>
                <w:lang w:eastAsia="zh-CN"/>
              </w:rPr>
              <w:t xml:space="preserve">: </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The receive timing difference between different directions, which is applicable to simultaneous data reception, simultaneous L1 measurements, and possibly simultaneous data reception and L1 measurements, is within CP in R18.</w:t>
            </w:r>
          </w:p>
          <w:p>
            <w:pPr>
              <w:pStyle w:val="27"/>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1b (Qualcomm</w:t>
            </w:r>
            <w:r>
              <w:rPr>
                <w:rFonts w:hint="eastAsia" w:eastAsia="宋体"/>
                <w:color w:val="auto"/>
                <w:szCs w:val="24"/>
                <w:lang w:eastAsia="zh-CN"/>
              </w:rPr>
              <w:t>,</w:t>
            </w:r>
            <w:r>
              <w:rPr>
                <w:rFonts w:eastAsia="宋体"/>
                <w:color w:val="auto"/>
                <w:szCs w:val="24"/>
                <w:lang w:eastAsia="zh-CN"/>
              </w:rPr>
              <w:t xml:space="preserve"> MTK</w:t>
            </w:r>
            <w:r>
              <w:rPr>
                <w:rFonts w:hint="eastAsia" w:eastAsia="宋体"/>
                <w:color w:val="auto"/>
                <w:szCs w:val="24"/>
                <w:lang w:eastAsia="zh-CN"/>
              </w:rPr>
              <w:t>)</w:t>
            </w:r>
            <w:r>
              <w:rPr>
                <w:rFonts w:eastAsia="宋体"/>
                <w:color w:val="auto"/>
                <w:szCs w:val="24"/>
                <w:lang w:eastAsia="zh-CN"/>
              </w:rPr>
              <w:t xml:space="preserve">: </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Receive time difference for configured different QCL Type D RSs is not larger than CP.</w:t>
            </w:r>
          </w:p>
          <w:p>
            <w:pPr>
              <w:pStyle w:val="27"/>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1c (Xiaomi</w:t>
            </w:r>
            <w:r>
              <w:rPr>
                <w:rFonts w:hint="eastAsia" w:eastAsia="宋体"/>
                <w:color w:val="auto"/>
                <w:szCs w:val="24"/>
                <w:lang w:eastAsia="zh-CN"/>
              </w:rPr>
              <w:t>)</w:t>
            </w:r>
            <w:r>
              <w:rPr>
                <w:rFonts w:eastAsia="宋体"/>
                <w:color w:val="auto"/>
                <w:szCs w:val="24"/>
                <w:lang w:eastAsia="zh-CN"/>
              </w:rPr>
              <w:t xml:space="preserve">: </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The RTD for multi-TRP will be kept within CP for both intra-cell and inter-cell case.</w:t>
            </w:r>
          </w:p>
          <w:p>
            <w:pPr>
              <w:pStyle w:val="27"/>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1d (OPPO</w:t>
            </w:r>
            <w:r>
              <w:rPr>
                <w:rFonts w:hint="eastAsia" w:eastAsia="宋体"/>
                <w:color w:val="auto"/>
                <w:szCs w:val="24"/>
                <w:lang w:eastAsia="zh-CN"/>
              </w:rPr>
              <w:t>)</w:t>
            </w:r>
            <w:r>
              <w:rPr>
                <w:rFonts w:eastAsia="宋体"/>
                <w:color w:val="auto"/>
                <w:szCs w:val="24"/>
                <w:lang w:eastAsia="zh-CN"/>
              </w:rPr>
              <w:t xml:space="preserve">: </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The RTD between different panels is at least within one CP.</w:t>
            </w:r>
          </w:p>
          <w:p>
            <w:pPr>
              <w:pStyle w:val="27"/>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2a (Intel):</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For intra-cell mTRP, don’t define requirement when timing offset is larger than CP.</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For inter-cell mTRP, further discuss whether to define requirements with timing difference larger than CP.</w:t>
            </w:r>
          </w:p>
          <w:p>
            <w:pPr>
              <w:pStyle w:val="27"/>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2b (Huawei):</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RAN4 to consider defining requirements with timing difference larger than CP, and the applicable scenario needs further investigation in terms of sDCI/mDCI, intra-cell/inter-cell and combinations of receiving signals.</w:t>
            </w:r>
          </w:p>
          <w:p>
            <w:pPr>
              <w:pStyle w:val="27"/>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2c (Samsung):</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RAN4 to discuss</w:t>
            </w:r>
            <w:r>
              <w:rPr>
                <w:rFonts w:hint="eastAsia"/>
                <w:lang w:eastAsia="zh-CN"/>
              </w:rPr>
              <w:t xml:space="preserve"> </w:t>
            </w:r>
            <w:r>
              <w:rPr>
                <w:lang w:eastAsia="zh-CN"/>
              </w:rPr>
              <w:t>whether to define requirements with timing difference larger than CP depending on progress of RRM requirements</w:t>
            </w:r>
          </w:p>
          <w:p>
            <w:pPr>
              <w:pStyle w:val="27"/>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2d (vivo</w:t>
            </w:r>
            <w:r>
              <w:rPr>
                <w:rFonts w:hint="eastAsia" w:eastAsia="宋体"/>
                <w:color w:val="auto"/>
                <w:szCs w:val="24"/>
                <w:lang w:eastAsia="zh-CN"/>
              </w:rPr>
              <w:t>)</w:t>
            </w:r>
            <w:r>
              <w:rPr>
                <w:rFonts w:eastAsia="宋体"/>
                <w:color w:val="auto"/>
                <w:szCs w:val="24"/>
                <w:lang w:eastAsia="zh-CN"/>
              </w:rPr>
              <w:t xml:space="preserve">: </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Receive timing difference for configured different QCL Type D RSs for L1 measurement is within CP.</w:t>
            </w:r>
          </w:p>
          <w:p>
            <w:pPr>
              <w:pStyle w:val="27"/>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2e (ZTE</w:t>
            </w:r>
            <w:r>
              <w:rPr>
                <w:rFonts w:hint="eastAsia" w:eastAsia="宋体"/>
                <w:color w:val="auto"/>
                <w:szCs w:val="24"/>
                <w:lang w:eastAsia="zh-CN"/>
              </w:rPr>
              <w:t>)</w:t>
            </w:r>
            <w:r>
              <w:rPr>
                <w:rFonts w:eastAsia="宋体"/>
                <w:color w:val="auto"/>
                <w:szCs w:val="24"/>
                <w:lang w:eastAsia="zh-CN"/>
              </w:rPr>
              <w:t xml:space="preserve">: </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The case of receiving timing difference within CP should be baseline for simultaneous multiple reception from different directions.</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If inter-cell mTRP is decided to be included in this WI, then the possibility of the receiving timing difference larger than CP exists.</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From the perspective of UE architecture, based on the assumption of independent RF chain and BB for multi-panel case, not applying any restriction on receiving timing difference is feasible.</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The total receiving timing difference can be seen as a trade-off between BS TAE and propagation delay difference. So as to control the total value, then smaller BS TAE should be guaranteed if not restrict the deployment of inter-cell scenario.</w:t>
            </w:r>
          </w:p>
          <w:p>
            <w:pPr>
              <w:pStyle w:val="27"/>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2f (Nokia</w:t>
            </w:r>
            <w:r>
              <w:rPr>
                <w:rFonts w:hint="eastAsia" w:eastAsia="宋体"/>
                <w:color w:val="auto"/>
                <w:szCs w:val="24"/>
                <w:lang w:eastAsia="zh-CN"/>
              </w:rPr>
              <w:t>)</w:t>
            </w:r>
            <w:r>
              <w:rPr>
                <w:rFonts w:eastAsia="宋体"/>
                <w:color w:val="auto"/>
                <w:szCs w:val="24"/>
                <w:lang w:eastAsia="zh-CN"/>
              </w:rPr>
              <w:t xml:space="preserve">: </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For multi-RX multi-DCI multi-TRP operation, follow the agreements in the MIMO_evo_DL_UL WI: propagation delay difference is within CP as baseline, and propagation delay difference larger than CP is supported as optional UE capability</w:t>
            </w:r>
          </w:p>
          <w:p>
            <w:pPr>
              <w:pStyle w:val="27"/>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2g (Ericsson</w:t>
            </w:r>
            <w:r>
              <w:rPr>
                <w:rFonts w:hint="eastAsia" w:eastAsia="宋体"/>
                <w:color w:val="auto"/>
                <w:szCs w:val="24"/>
                <w:lang w:eastAsia="zh-CN"/>
              </w:rPr>
              <w:t>)</w:t>
            </w:r>
            <w:r>
              <w:rPr>
                <w:rFonts w:eastAsia="宋体"/>
                <w:color w:val="auto"/>
                <w:szCs w:val="24"/>
                <w:lang w:eastAsia="zh-CN"/>
              </w:rPr>
              <w:t xml:space="preserve">: </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Start with receive time differences between any configured different QCL Type D RSs is not larger than CP.</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rFonts w:hint="default"/>
                <w:b w:val="0"/>
                <w:bCs/>
                <w:sz w:val="24"/>
                <w:szCs w:val="24"/>
                <w:vertAlign w:val="baseline"/>
                <w:lang w:val="en-US" w:eastAsia="zh-CN"/>
              </w:rPr>
            </w:pPr>
            <w:r>
              <w:rPr>
                <w:lang w:eastAsia="zh-CN"/>
              </w:rPr>
              <w:t>FFS whether to define requirements with timing difference larger than CP.</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rFonts w:hint="default"/>
                <w:b w:val="0"/>
                <w:bCs/>
                <w:sz w:val="24"/>
                <w:szCs w:val="24"/>
                <w:vertAlign w:val="baseline"/>
                <w:lang w:val="en-US" w:eastAsia="zh-CN"/>
              </w:rPr>
            </w:pPr>
            <w:r>
              <w:t xml:space="preserve">If we define cases where ∆τ &gt; CP then we define a total MRTD budget, where </w:t>
            </w:r>
            <w:r>
              <w:br w:type="textWrapping"/>
            </w:r>
            <w:r>
              <w:t>∆τ = TAE + ∆propagation and ∆τ &lt; MRTD. This way TAE and ∆propagation can be balanced as terms, within the total MRTD budget.</w:t>
            </w:r>
          </w:p>
          <w:p>
            <w:pPr>
              <w:pStyle w:val="27"/>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3 (LGE</w:t>
            </w:r>
            <w:r>
              <w:rPr>
                <w:rFonts w:hint="eastAsia" w:eastAsia="宋体"/>
                <w:color w:val="auto"/>
                <w:szCs w:val="24"/>
                <w:lang w:eastAsia="zh-CN"/>
              </w:rPr>
              <w:t>)</w:t>
            </w:r>
            <w:r>
              <w:rPr>
                <w:rFonts w:eastAsia="宋体"/>
                <w:color w:val="auto"/>
                <w:szCs w:val="24"/>
                <w:lang w:eastAsia="zh-CN"/>
              </w:rPr>
              <w:t xml:space="preserve">: </w:t>
            </w:r>
          </w:p>
          <w:p>
            <w:pPr>
              <w:pStyle w:val="57"/>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rFonts w:hint="default" w:eastAsia="宋体"/>
                <w:color w:val="auto"/>
                <w:sz w:val="21"/>
                <w:szCs w:val="21"/>
                <w:highlight w:val="none"/>
                <w:vertAlign w:val="baseline"/>
                <w:lang w:val="en-US" w:eastAsia="zh-CN"/>
              </w:rPr>
            </w:pPr>
            <w:r>
              <w:rPr>
                <w:lang w:eastAsia="zh-CN"/>
              </w:rPr>
              <w:t>In this WI, the baseline assumption for RRM requirements should be that receive time difference is within CP, and it should be also discussed in RAN1 if RAN4 considers receive time difference larger than CP</w:t>
            </w:r>
          </w:p>
        </w:tc>
      </w:tr>
    </w:tbl>
    <w:p>
      <w:pPr>
        <w:pStyle w:val="8"/>
        <w:tabs>
          <w:tab w:val="left" w:pos="226"/>
          <w:tab w:val="left" w:pos="284"/>
          <w:tab w:val="left" w:pos="5103"/>
        </w:tabs>
        <w:snapToGrid w:val="0"/>
        <w:spacing w:before="156" w:beforeLines="5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We can classify all options into three categories:</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Option 1: The Receive time difference is not larger than CP. </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Option 2: The Receive time difference can be not larger than CP under some condition and can be larger than CP under other condition.</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Option 3: Option 1 is baseline assumption and can be further identified in RAN 1.</w:t>
      </w:r>
    </w:p>
    <w:p>
      <w:pPr>
        <w:pStyle w:val="8"/>
        <w:tabs>
          <w:tab w:val="left" w:pos="226"/>
          <w:tab w:val="left" w:pos="284"/>
          <w:tab w:val="left" w:pos="5103"/>
        </w:tabs>
        <w:snapToGrid w:val="0"/>
        <w:spacing w:before="156" w:beforeLines="5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Firstly the case of receiving timing difference within CP should be mainly considered for simultaneous multiple reception from different directions. During the FeMIMO discussion in Rel-17, for both intra-cell and inter-cell cases, the condition of receiving timing difference within CP is always assumed. </w:t>
      </w:r>
    </w:p>
    <w:p>
      <w:pPr>
        <w:pStyle w:val="8"/>
        <w:numPr>
          <w:ilvl w:val="0"/>
          <w:numId w:val="0"/>
        </w:numPr>
        <w:tabs>
          <w:tab w:val="left" w:pos="226"/>
          <w:tab w:val="left" w:pos="284"/>
          <w:tab w:val="left" w:pos="5103"/>
        </w:tabs>
        <w:snapToGrid w:val="0"/>
        <w:spacing w:before="156" w:beforeLines="50"/>
        <w:rPr>
          <w:rFonts w:hint="eastAsia" w:eastAsia="宋体"/>
          <w:color w:val="auto"/>
          <w:sz w:val="21"/>
          <w:szCs w:val="21"/>
          <w:highlight w:val="none"/>
          <w:lang w:val="en-US" w:eastAsia="zh-CN"/>
        </w:rPr>
      </w:pPr>
      <w:r>
        <w:rPr>
          <w:rFonts w:hint="eastAsia" w:eastAsia="宋体" w:cs="Times New Roman"/>
          <w:b/>
          <w:bCs/>
          <w:color w:val="auto"/>
          <w:sz w:val="20"/>
          <w:szCs w:val="20"/>
          <w:highlight w:val="none"/>
          <w:lang w:val="en-US" w:eastAsia="zh-CN" w:bidi="ar-SA"/>
        </w:rPr>
        <w:t>Proposal 1: The case of receiving timing difference within CP should be baseline for simultaneous multiple reception from different directions.</w:t>
      </w:r>
    </w:p>
    <w:p>
      <w:pPr>
        <w:pStyle w:val="8"/>
        <w:tabs>
          <w:tab w:val="left" w:pos="226"/>
          <w:tab w:val="left" w:pos="284"/>
          <w:tab w:val="left" w:pos="5103"/>
        </w:tabs>
        <w:snapToGrid w:val="0"/>
        <w:spacing w:before="156" w:beforeLines="5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The controversy is whether to support the case of receiving timing difference beyond CP in this WI. In our opinion, which is closely related with the supported scenario. If inter-cell mTRP is decided to be included in this WI, then the possibility of the receiving timing difference larger than CP exists. From the perspective of UE architecture, based on the assumption of independent RF chain and BB for multi-panel case, not applying any restriction on receiving timing difference is feasible.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If inter-cell mTRP is decided to be included in this WI, then the possibility of the receiving timing difference larger than CP exists.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From the perspective of UE architecture, based on the assumption of independent RF chain and BB for multi-panel case, not applying any restriction on receiving timing difference is feasible.</w:t>
      </w:r>
    </w:p>
    <w:p>
      <w:pPr>
        <w:pStyle w:val="8"/>
        <w:numPr>
          <w:ilvl w:val="0"/>
          <w:numId w:val="0"/>
        </w:numPr>
        <w:tabs>
          <w:tab w:val="left" w:pos="226"/>
          <w:tab w:val="left" w:pos="284"/>
          <w:tab w:val="left" w:pos="5103"/>
        </w:tabs>
        <w:snapToGrid w:val="0"/>
        <w:spacing w:before="156" w:beforeLines="5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Further more, considering the determination of receiving timing difference, which includes BS TAE and propagation delay difference. So the total receiving timing difference can be seen as a trade-off between BS TAE and propagation delay difference. If we aim to control the total value within CP and support the inter-cell scenario at the same time, then smaller BS TAE should be guaranteed.</w:t>
      </w:r>
    </w:p>
    <w:p>
      <w:p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total receiving timing difference can be seen as a trade-off between BS TAE and propagation delay difference. So as to control the total value, then smaller BS TAE should be guaranteed if not restrict the deployment of inter-cell scenario.</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the receiving time difference between multiple panels for simultaneous DL reception from different directions</w:t>
      </w:r>
      <w:r>
        <w:rPr>
          <w:rFonts w:eastAsia="宋体"/>
          <w:bCs/>
          <w:color w:val="auto"/>
          <w:sz w:val="20"/>
          <w:szCs w:val="20"/>
          <w:lang w:val="en-GB" w:eastAsia="zh-CN"/>
        </w:rPr>
        <w:t>:</w:t>
      </w:r>
    </w:p>
    <w:p>
      <w:pPr>
        <w:pStyle w:val="8"/>
        <w:numPr>
          <w:ilvl w:val="0"/>
          <w:numId w:val="0"/>
        </w:numPr>
        <w:tabs>
          <w:tab w:val="left" w:pos="226"/>
          <w:tab w:val="left" w:pos="284"/>
          <w:tab w:val="left" w:pos="5103"/>
        </w:tabs>
        <w:snapToGrid w:val="0"/>
        <w:spacing w:before="156" w:beforeLines="50"/>
        <w:rPr>
          <w:rFonts w:hint="eastAsia" w:eastAsia="宋体"/>
          <w:color w:val="auto"/>
          <w:sz w:val="21"/>
          <w:szCs w:val="21"/>
          <w:highlight w:val="none"/>
          <w:lang w:val="en-US" w:eastAsia="zh-CN"/>
        </w:rPr>
      </w:pPr>
      <w:r>
        <w:rPr>
          <w:rFonts w:hint="eastAsia" w:eastAsia="宋体" w:cs="Times New Roman"/>
          <w:b/>
          <w:bCs/>
          <w:color w:val="auto"/>
          <w:sz w:val="20"/>
          <w:szCs w:val="20"/>
          <w:highlight w:val="none"/>
          <w:lang w:val="en-US" w:eastAsia="zh-CN" w:bidi="ar-SA"/>
        </w:rPr>
        <w:t>Proposal 1: The case of receiving timing difference within CP should be baseline for simultaneous multiple reception from different directions.</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If inter-cell mTRP is decided to be included in this WI, then the possibility of the receiving timing difference larger than CP exists.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From the perspective of UE architecture, based on the assumption of independent RF chain and BB for multi-panel case, not applying any restriction on receiving timing difference is feasible.</w:t>
      </w:r>
    </w:p>
    <w:p>
      <w:p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total receiving timing difference can be seen as a trade-off between BS TAE and propagation delay difference. So as to control the total value, then smaller BS TAE should be guaranteed if not restrict the deployment of inter-cell scenario.</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0" w:leftChars="0" w:firstLine="0" w:firstLineChars="0"/>
        <w:rPr>
          <w:rFonts w:hint="eastAsia"/>
          <w:color w:val="auto"/>
          <w:lang w:val="en-US" w:eastAsia="zh-CN"/>
        </w:rPr>
      </w:pPr>
      <w:r>
        <w:rPr>
          <w:rFonts w:hint="eastAsia"/>
          <w:color w:val="auto"/>
          <w:lang w:val="en-US" w:eastAsia="zh-CN"/>
        </w:rPr>
        <w:t>Topic summary for [105][215] FR2_multiRx_RRM_part1, vivo.</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CBB94A40"/>
    <w:multiLevelType w:val="singleLevel"/>
    <w:tmpl w:val="CBB94A40"/>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7"/>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122247"/>
    <w:rsid w:val="022C3A09"/>
    <w:rsid w:val="028B6A1D"/>
    <w:rsid w:val="028F1C3E"/>
    <w:rsid w:val="037D0CB3"/>
    <w:rsid w:val="03D4720A"/>
    <w:rsid w:val="03E04DEA"/>
    <w:rsid w:val="04654053"/>
    <w:rsid w:val="04793516"/>
    <w:rsid w:val="047A3CFF"/>
    <w:rsid w:val="04885243"/>
    <w:rsid w:val="04A614F6"/>
    <w:rsid w:val="05317828"/>
    <w:rsid w:val="05477E90"/>
    <w:rsid w:val="05BB5AB9"/>
    <w:rsid w:val="05C42923"/>
    <w:rsid w:val="05F562DB"/>
    <w:rsid w:val="06963BA6"/>
    <w:rsid w:val="06965F3C"/>
    <w:rsid w:val="071C31BC"/>
    <w:rsid w:val="07CD3CDD"/>
    <w:rsid w:val="084B363C"/>
    <w:rsid w:val="0855671D"/>
    <w:rsid w:val="089009EB"/>
    <w:rsid w:val="09395C1E"/>
    <w:rsid w:val="09716BCA"/>
    <w:rsid w:val="098C1CEA"/>
    <w:rsid w:val="09D64B23"/>
    <w:rsid w:val="09E644B8"/>
    <w:rsid w:val="0B12013A"/>
    <w:rsid w:val="0B1C5C6A"/>
    <w:rsid w:val="0B243EFB"/>
    <w:rsid w:val="0B3D3C2F"/>
    <w:rsid w:val="0B5D15B4"/>
    <w:rsid w:val="0BAC06FA"/>
    <w:rsid w:val="0BB0429A"/>
    <w:rsid w:val="0BFF5FC6"/>
    <w:rsid w:val="0C276675"/>
    <w:rsid w:val="0C394019"/>
    <w:rsid w:val="0C443848"/>
    <w:rsid w:val="0CBB2438"/>
    <w:rsid w:val="0EC91588"/>
    <w:rsid w:val="0F12673C"/>
    <w:rsid w:val="0F8009F9"/>
    <w:rsid w:val="103765F0"/>
    <w:rsid w:val="10997F43"/>
    <w:rsid w:val="10DE7BAE"/>
    <w:rsid w:val="11023BFD"/>
    <w:rsid w:val="110404BB"/>
    <w:rsid w:val="111C20F6"/>
    <w:rsid w:val="11ED345F"/>
    <w:rsid w:val="120774A3"/>
    <w:rsid w:val="12580C13"/>
    <w:rsid w:val="136E2316"/>
    <w:rsid w:val="13A463A1"/>
    <w:rsid w:val="14006D19"/>
    <w:rsid w:val="1414436B"/>
    <w:rsid w:val="1481754F"/>
    <w:rsid w:val="148F5721"/>
    <w:rsid w:val="14AC57CD"/>
    <w:rsid w:val="15ED3E9B"/>
    <w:rsid w:val="15FE3185"/>
    <w:rsid w:val="164514BE"/>
    <w:rsid w:val="170F06AA"/>
    <w:rsid w:val="17225508"/>
    <w:rsid w:val="180A6E32"/>
    <w:rsid w:val="183F2CD2"/>
    <w:rsid w:val="1856323E"/>
    <w:rsid w:val="18AF55E3"/>
    <w:rsid w:val="18B1519A"/>
    <w:rsid w:val="18CD0507"/>
    <w:rsid w:val="195D7D48"/>
    <w:rsid w:val="19852D03"/>
    <w:rsid w:val="1A6F1A83"/>
    <w:rsid w:val="1AD01A1B"/>
    <w:rsid w:val="1B61065A"/>
    <w:rsid w:val="1B6C3593"/>
    <w:rsid w:val="1BBF3927"/>
    <w:rsid w:val="1C177B08"/>
    <w:rsid w:val="1C9001C6"/>
    <w:rsid w:val="1CBA2101"/>
    <w:rsid w:val="1D0573D7"/>
    <w:rsid w:val="1D153DC4"/>
    <w:rsid w:val="1D223E0B"/>
    <w:rsid w:val="1D3A54CD"/>
    <w:rsid w:val="1DF33EB1"/>
    <w:rsid w:val="1E132F88"/>
    <w:rsid w:val="1E2867E9"/>
    <w:rsid w:val="1E853F6F"/>
    <w:rsid w:val="1E9C7BCC"/>
    <w:rsid w:val="1ECC1E3C"/>
    <w:rsid w:val="1FFD4083"/>
    <w:rsid w:val="202F3D4C"/>
    <w:rsid w:val="21014C39"/>
    <w:rsid w:val="21045DF0"/>
    <w:rsid w:val="21244EB1"/>
    <w:rsid w:val="213964D8"/>
    <w:rsid w:val="21595D04"/>
    <w:rsid w:val="21835807"/>
    <w:rsid w:val="21F13629"/>
    <w:rsid w:val="22957446"/>
    <w:rsid w:val="2305377E"/>
    <w:rsid w:val="231A76D5"/>
    <w:rsid w:val="24122135"/>
    <w:rsid w:val="24D4257E"/>
    <w:rsid w:val="24F5519F"/>
    <w:rsid w:val="2572202B"/>
    <w:rsid w:val="2605683C"/>
    <w:rsid w:val="26661176"/>
    <w:rsid w:val="26BB1419"/>
    <w:rsid w:val="27315D1D"/>
    <w:rsid w:val="27B748AA"/>
    <w:rsid w:val="27CB4CB9"/>
    <w:rsid w:val="281C2F58"/>
    <w:rsid w:val="292D5BF2"/>
    <w:rsid w:val="292F6239"/>
    <w:rsid w:val="29642C4B"/>
    <w:rsid w:val="29A66B9A"/>
    <w:rsid w:val="2A34628C"/>
    <w:rsid w:val="2A724D05"/>
    <w:rsid w:val="2A7E505C"/>
    <w:rsid w:val="2AAD7E69"/>
    <w:rsid w:val="2AC85686"/>
    <w:rsid w:val="2AD04B5F"/>
    <w:rsid w:val="2B39549B"/>
    <w:rsid w:val="2BC05B2C"/>
    <w:rsid w:val="2BD617C5"/>
    <w:rsid w:val="2C112837"/>
    <w:rsid w:val="2C360608"/>
    <w:rsid w:val="2D127B6F"/>
    <w:rsid w:val="2E014790"/>
    <w:rsid w:val="2EE77680"/>
    <w:rsid w:val="2F2F0FC8"/>
    <w:rsid w:val="2FC61013"/>
    <w:rsid w:val="301C6BB6"/>
    <w:rsid w:val="30723652"/>
    <w:rsid w:val="30766FB2"/>
    <w:rsid w:val="319708F2"/>
    <w:rsid w:val="31B14C9E"/>
    <w:rsid w:val="31FE2981"/>
    <w:rsid w:val="33C522D7"/>
    <w:rsid w:val="33F228A5"/>
    <w:rsid w:val="34807672"/>
    <w:rsid w:val="351B1E30"/>
    <w:rsid w:val="358E5935"/>
    <w:rsid w:val="35B06C6A"/>
    <w:rsid w:val="36941AA2"/>
    <w:rsid w:val="36D37423"/>
    <w:rsid w:val="379D23F9"/>
    <w:rsid w:val="37E74183"/>
    <w:rsid w:val="3A054591"/>
    <w:rsid w:val="3A185287"/>
    <w:rsid w:val="3A1F46B8"/>
    <w:rsid w:val="3A692CD0"/>
    <w:rsid w:val="3AE162E7"/>
    <w:rsid w:val="3B270929"/>
    <w:rsid w:val="3B3D5571"/>
    <w:rsid w:val="3B5D276F"/>
    <w:rsid w:val="3B673620"/>
    <w:rsid w:val="3B9A1F29"/>
    <w:rsid w:val="3C2A4F22"/>
    <w:rsid w:val="3CE4646B"/>
    <w:rsid w:val="3D5E7AA8"/>
    <w:rsid w:val="3D6F2596"/>
    <w:rsid w:val="3F7F3061"/>
    <w:rsid w:val="405F175E"/>
    <w:rsid w:val="40C765F3"/>
    <w:rsid w:val="41C755BE"/>
    <w:rsid w:val="4219614A"/>
    <w:rsid w:val="428104DA"/>
    <w:rsid w:val="42F869D2"/>
    <w:rsid w:val="43553536"/>
    <w:rsid w:val="44972678"/>
    <w:rsid w:val="451632B9"/>
    <w:rsid w:val="45906394"/>
    <w:rsid w:val="45F60A50"/>
    <w:rsid w:val="46142D0C"/>
    <w:rsid w:val="46970A81"/>
    <w:rsid w:val="46B036BF"/>
    <w:rsid w:val="47282363"/>
    <w:rsid w:val="476B3528"/>
    <w:rsid w:val="47C726B0"/>
    <w:rsid w:val="49087C07"/>
    <w:rsid w:val="49DC4EAC"/>
    <w:rsid w:val="49E55BC5"/>
    <w:rsid w:val="4A5B6F05"/>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72021A"/>
    <w:rsid w:val="53A3105E"/>
    <w:rsid w:val="53C64B93"/>
    <w:rsid w:val="540D5091"/>
    <w:rsid w:val="548A6C60"/>
    <w:rsid w:val="54E07F19"/>
    <w:rsid w:val="55B1164D"/>
    <w:rsid w:val="55B4735E"/>
    <w:rsid w:val="55BB221D"/>
    <w:rsid w:val="56371459"/>
    <w:rsid w:val="56484633"/>
    <w:rsid w:val="58D0053D"/>
    <w:rsid w:val="59064002"/>
    <w:rsid w:val="598C40A0"/>
    <w:rsid w:val="59DA647E"/>
    <w:rsid w:val="5A556E1A"/>
    <w:rsid w:val="5C1166E3"/>
    <w:rsid w:val="5E2864D0"/>
    <w:rsid w:val="5E494511"/>
    <w:rsid w:val="5EB44FC0"/>
    <w:rsid w:val="5EB81F13"/>
    <w:rsid w:val="5EDA64BC"/>
    <w:rsid w:val="5FBA395F"/>
    <w:rsid w:val="60B92183"/>
    <w:rsid w:val="60EC2CBA"/>
    <w:rsid w:val="61CC2D28"/>
    <w:rsid w:val="630C63B9"/>
    <w:rsid w:val="635902CD"/>
    <w:rsid w:val="642A3E76"/>
    <w:rsid w:val="645E1DDB"/>
    <w:rsid w:val="64706BBE"/>
    <w:rsid w:val="64F2095B"/>
    <w:rsid w:val="65267327"/>
    <w:rsid w:val="65D63F94"/>
    <w:rsid w:val="66A92706"/>
    <w:rsid w:val="67A858DB"/>
    <w:rsid w:val="67FE4166"/>
    <w:rsid w:val="687E1815"/>
    <w:rsid w:val="68AD2162"/>
    <w:rsid w:val="68C401C3"/>
    <w:rsid w:val="69045D7F"/>
    <w:rsid w:val="693027BF"/>
    <w:rsid w:val="6968769B"/>
    <w:rsid w:val="69831B57"/>
    <w:rsid w:val="69A833BD"/>
    <w:rsid w:val="6A5D78D5"/>
    <w:rsid w:val="6A85354A"/>
    <w:rsid w:val="6C8E0C06"/>
    <w:rsid w:val="6D566F0F"/>
    <w:rsid w:val="6D836F72"/>
    <w:rsid w:val="6DDE3DAF"/>
    <w:rsid w:val="6E2C7D5B"/>
    <w:rsid w:val="6E3241BE"/>
    <w:rsid w:val="6EB97A9D"/>
    <w:rsid w:val="6EF10A90"/>
    <w:rsid w:val="6FD45BF8"/>
    <w:rsid w:val="6FFF1868"/>
    <w:rsid w:val="71507435"/>
    <w:rsid w:val="715F4C2D"/>
    <w:rsid w:val="71E40FCE"/>
    <w:rsid w:val="722F78FB"/>
    <w:rsid w:val="723D67C5"/>
    <w:rsid w:val="7250627B"/>
    <w:rsid w:val="72BF60CA"/>
    <w:rsid w:val="72F41282"/>
    <w:rsid w:val="733D0D32"/>
    <w:rsid w:val="73D411F1"/>
    <w:rsid w:val="753811DE"/>
    <w:rsid w:val="757733D9"/>
    <w:rsid w:val="75A7114C"/>
    <w:rsid w:val="75BE67D4"/>
    <w:rsid w:val="75C2004C"/>
    <w:rsid w:val="75C759C1"/>
    <w:rsid w:val="760F5DAE"/>
    <w:rsid w:val="762D64F3"/>
    <w:rsid w:val="767E7EFF"/>
    <w:rsid w:val="775B4604"/>
    <w:rsid w:val="77C067C3"/>
    <w:rsid w:val="78911E31"/>
    <w:rsid w:val="7922350F"/>
    <w:rsid w:val="792B5470"/>
    <w:rsid w:val="79C637D8"/>
    <w:rsid w:val="7A9367CB"/>
    <w:rsid w:val="7AF22571"/>
    <w:rsid w:val="7B69224B"/>
    <w:rsid w:val="7BE80F25"/>
    <w:rsid w:val="7BFA7504"/>
    <w:rsid w:val="7C1C35A7"/>
    <w:rsid w:val="7C45431D"/>
    <w:rsid w:val="7D243E1C"/>
    <w:rsid w:val="7D3219D5"/>
    <w:rsid w:val="7DDD0501"/>
    <w:rsid w:val="7DE51372"/>
    <w:rsid w:val="7E5E590F"/>
    <w:rsid w:val="7E935AFB"/>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2023-02-17T13:07:58Z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